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43" w:rsidRPr="00B36343" w:rsidRDefault="00B36343" w:rsidP="00B36343">
      <w:pPr>
        <w:pStyle w:val="1"/>
        <w:spacing w:line="360" w:lineRule="auto"/>
        <w:rPr>
          <w:sz w:val="32"/>
          <w:szCs w:val="32"/>
        </w:rPr>
      </w:pPr>
      <w:bookmarkStart w:id="0" w:name="_GoBack"/>
      <w:bookmarkEnd w:id="0"/>
      <w:r w:rsidRPr="00B36343">
        <w:rPr>
          <w:sz w:val="32"/>
          <w:szCs w:val="32"/>
        </w:rPr>
        <w:t>Итоги социально-экономического развития Брянской области в</w:t>
      </w:r>
      <w:r>
        <w:rPr>
          <w:sz w:val="32"/>
          <w:szCs w:val="32"/>
          <w:lang w:val="en-US"/>
        </w:rPr>
        <w:t> </w:t>
      </w:r>
      <w:r w:rsidRPr="00B36343">
        <w:rPr>
          <w:sz w:val="32"/>
          <w:szCs w:val="32"/>
        </w:rPr>
        <w:t>2023 году</w:t>
      </w:r>
    </w:p>
    <w:p w:rsidR="00B36343" w:rsidRPr="00B36343" w:rsidRDefault="00B36343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валового регионального продукта в 2022 году составил 549,3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руб., индекс физического объема — 99,9% к уровню 2021 года в сопоставимых ценах. В 2023 году ВРП оценивается в 599,5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руб. или 102,0% к уровню 2022 года в сопоставимых ценах.</w:t>
      </w:r>
    </w:p>
    <w:p w:rsidR="00B36343" w:rsidRPr="00B36343" w:rsidRDefault="00B36343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Ведущими видами экономической деятельности являются обрабатывающие производства; сельское, лесное хозяйство, охота, рыболовство и рыбоводство; торговля оптовая и розничная, ремонт автотранспортных средств и мотоциклов; деятельность по операциям с недвижимым имуществом; транспортировка и хранение; государственное управление и обеспечение военной безопасности; деятельность в области культуры, спорта, организации досуга и развлечений; образование; деятельность в области здравоохранения и социальных услуг;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строительство, на долю 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приходится 90,7% произведенного ВРП.</w:t>
      </w:r>
    </w:p>
    <w:p w:rsidR="00B36343" w:rsidRPr="00B36343" w:rsidRDefault="00B36343" w:rsidP="00B36343">
      <w:pPr>
        <w:pStyle w:val="1"/>
        <w:spacing w:line="360" w:lineRule="auto"/>
      </w:pPr>
      <w:r w:rsidRPr="00B36343">
        <w:t>Объем ВРП</w:t>
      </w:r>
    </w:p>
    <w:p w:rsidR="00B36343" w:rsidRPr="00B36343" w:rsidRDefault="00B36343" w:rsidP="003C7FF4">
      <w:pPr>
        <w:pStyle w:val="1"/>
        <w:spacing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8B63AE8" wp14:editId="41FE9B24">
            <wp:extent cx="5940425" cy="3564255"/>
            <wp:effectExtent l="0" t="0" r="0" b="0"/>
            <wp:docPr id="1" name="Рисунок 1" descr="D:\Мои документы\svodka\2024\04\19\canva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vodka\2024\04\19\canvas-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6343">
        <w:rPr>
          <w:b w:val="0"/>
          <w:sz w:val="24"/>
          <w:szCs w:val="24"/>
        </w:rPr>
        <w:t>Промышленными предприятиями области отгружено товаров собственного производства на 476,6 </w:t>
      </w:r>
      <w:proofErr w:type="gramStart"/>
      <w:r w:rsidRPr="00B36343">
        <w:rPr>
          <w:b w:val="0"/>
          <w:sz w:val="24"/>
          <w:szCs w:val="24"/>
        </w:rPr>
        <w:t>млрд</w:t>
      </w:r>
      <w:proofErr w:type="gramEnd"/>
      <w:r w:rsidRPr="00B36343">
        <w:rPr>
          <w:b w:val="0"/>
          <w:sz w:val="24"/>
          <w:szCs w:val="24"/>
        </w:rPr>
        <w:t> руб. Индекс промышленного производства составил 114,5%.</w:t>
      </w:r>
    </w:p>
    <w:p w:rsidR="00B36343" w:rsidRDefault="00B36343" w:rsidP="00B36343">
      <w:pPr>
        <w:pStyle w:val="1"/>
        <w:keepNext/>
        <w:spacing w:line="360" w:lineRule="auto"/>
        <w:rPr>
          <w:lang w:val="en-US"/>
        </w:rPr>
      </w:pPr>
      <w:r w:rsidRPr="00B36343">
        <w:lastRenderedPageBreak/>
        <w:t>Динамика темпов роста ВРП</w:t>
      </w:r>
    </w:p>
    <w:p w:rsidR="00A5296F" w:rsidRPr="00A5296F" w:rsidRDefault="00A5296F" w:rsidP="00B36343">
      <w:pPr>
        <w:pStyle w:val="1"/>
        <w:keepNext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40425" cy="3564255"/>
            <wp:effectExtent l="0" t="0" r="0" b="0"/>
            <wp:docPr id="2" name="Рисунок 2" descr="D:\Мои документы\svodka\2024\04\19\canva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vodka\2024\04\19\canvas-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96F" w:rsidRPr="004F5733" w:rsidRDefault="00C34C70" w:rsidP="00B36343">
      <w:pPr>
        <w:pStyle w:val="1"/>
        <w:keepNext/>
        <w:spacing w:line="360" w:lineRule="auto"/>
      </w:pPr>
      <w:r>
        <w:t>Объем отгруженных товаров</w:t>
      </w:r>
      <w:r w:rsidR="00B36343" w:rsidRPr="00B36343">
        <w:t xml:space="preserve"> собственного производства</w:t>
      </w:r>
      <w:r w:rsidR="004F5733">
        <w:t xml:space="preserve">, </w:t>
      </w:r>
      <w:r w:rsidR="00B36343" w:rsidRPr="00B36343">
        <w:t xml:space="preserve"> </w:t>
      </w:r>
      <w:r w:rsidR="004F5733" w:rsidRPr="004F5733">
        <w:t>выполненных работ и услуг собственными силами</w:t>
      </w:r>
      <w:r w:rsidR="004F5733">
        <w:rPr>
          <w:noProof/>
        </w:rPr>
        <w:t xml:space="preserve"> </w:t>
      </w:r>
      <w:r w:rsidR="007B624D">
        <w:rPr>
          <w:noProof/>
        </w:rPr>
        <w:drawing>
          <wp:inline distT="0" distB="0" distL="0" distR="0">
            <wp:extent cx="5934075" cy="3562350"/>
            <wp:effectExtent l="0" t="0" r="0" b="0"/>
            <wp:docPr id="3" name="Рисунок 3" descr="D:\Мои документы\svodka\2024\04\19\canvas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svodka\2024\04\19\canvas-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24D" w:rsidRPr="007B624D" w:rsidRDefault="00B36343" w:rsidP="00B36343">
      <w:pPr>
        <w:pStyle w:val="1"/>
        <w:keepNext/>
        <w:spacing w:line="360" w:lineRule="auto"/>
        <w:rPr>
          <w:lang w:val="en-US"/>
        </w:rPr>
      </w:pPr>
      <w:r w:rsidRPr="00B36343">
        <w:lastRenderedPageBreak/>
        <w:t>Динамика индексов промышленного производства</w:t>
      </w:r>
      <w:r w:rsidR="00C905D5">
        <w:rPr>
          <w:noProof/>
        </w:rPr>
        <w:drawing>
          <wp:inline distT="0" distB="0" distL="0" distR="0">
            <wp:extent cx="5934075" cy="3562350"/>
            <wp:effectExtent l="0" t="0" r="0" b="0"/>
            <wp:docPr id="20" name="Рисунок 20" descr="D:\Мои документы\svodka\2024\04\19\canvas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Мои документы\svodka\2024\04\19\canvas-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 выпуск продукции по видам деятельности: производство лекарственных средств и материалов, применяемых в медицинских целях — в 44,4 раза; производство готовых металлических изделий, кроме машин и оборудования — на 34,7%; производство электрического оборудования — на 33,3%; производство компьютеров, электронных и оптических изделий — на 28,4%; производство машин и оборудования, не включенных в другие группировки — на 22,2%;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полиграфическая и копирование носителей информации — на 19,9%; производство прочих транспортных средств и оборудования — на 14,1%; производство металлургическое — на 11,2%; ремонт и монтаж машин и оборудования — на 11,2%; производство пищевых продуктов — на 10,2%; производство резиновых и пластмассовых изделий — на 10,0%; производство химических веществ и химических продуктов — на 5,9%; производство прочей неметаллической минеральной продукции — на 5,9%;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автотранспортных средств, прицепов и полуприцепов — на 4,8%; производство бумаги и бумажных изделий — на 2,6%; производство одежды — на 1,8%; производство напитков — на 1,3%; производство кожи и изделий из кожи — 0,4%; обработка древесины и производство изделий из дерева и пробки, кроме мебели — на 0,4%.</w:t>
      </w:r>
    </w:p>
    <w:p w:rsidR="00B36343" w:rsidRPr="00B36343" w:rsidRDefault="00B36343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2023 году объем производства продукции сельского хозяйства в хозяйствах всех категорий составил 154,14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руб. или 112,3% в сопоставимых ценах к уровню 2022 </w:t>
      </w: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года, в том числе продукции растениеводства — 70,57 млрд руб. (112,1%), продукции животноводства — 83,57 млрд руб. (112,4%).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t>Производство продукции сельского хозяйства</w:t>
      </w:r>
    </w:p>
    <w:p w:rsidR="00B36343" w:rsidRPr="007B624D" w:rsidRDefault="007B624D" w:rsidP="007B624D">
      <w:pPr>
        <w:pStyle w:val="1"/>
        <w:spacing w:line="360" w:lineRule="auto"/>
      </w:pPr>
      <w:r>
        <w:rPr>
          <w:noProof/>
        </w:rPr>
        <w:drawing>
          <wp:inline distT="0" distB="0" distL="0" distR="0" wp14:anchorId="2686AFA8" wp14:editId="180D8498">
            <wp:extent cx="5934075" cy="3562350"/>
            <wp:effectExtent l="0" t="0" r="0" b="0"/>
            <wp:docPr id="5" name="Рисунок 5" descr="D:\Мои документы\svodka\2024\04\19\canvas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svodka\2024\04\19\canvas-0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343" w:rsidRPr="00B36343">
        <w:t>Динамика индексов производства продукции сельского хозяйства (в</w:t>
      </w:r>
      <w:r>
        <w:rPr>
          <w:lang w:val="en-US"/>
        </w:rPr>
        <w:t> </w:t>
      </w:r>
      <w:r w:rsidR="00B36343" w:rsidRPr="00B36343">
        <w:t xml:space="preserve"> хозяйствах всех категорий)</w:t>
      </w:r>
    </w:p>
    <w:p w:rsidR="007B624D" w:rsidRPr="007B624D" w:rsidRDefault="007B624D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34075" cy="3562350"/>
            <wp:effectExtent l="0" t="0" r="0" b="0"/>
            <wp:docPr id="6" name="Рисунок 6" descr="D:\Мои документы\svodka\2024\04\19\canvas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документы\svodka\2024\04\19\canvas-0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 2023 году по категориям хозяй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сл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ожилась следующая структура производства: 14,4% продукции произведено личными хозяйствами населения; 76,9% — </w:t>
      </w:r>
      <w:proofErr w:type="spell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сельхозорганизациями</w:t>
      </w:r>
      <w:proofErr w:type="spell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8,7% — крестьянскими (фермерскими) хозяйствами.</w:t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t xml:space="preserve">Структура продукции сельского хозяйства по категориям хозяйств (в фактически действовавших ценах; </w:t>
      </w:r>
      <w:proofErr w:type="gramStart"/>
      <w:r w:rsidRPr="00B36343">
        <w:t>в</w:t>
      </w:r>
      <w:proofErr w:type="gramEnd"/>
      <w:r w:rsidRPr="00B36343">
        <w:t xml:space="preserve"> % </w:t>
      </w:r>
      <w:proofErr w:type="gramStart"/>
      <w:r w:rsidRPr="00B36343">
        <w:t>от</w:t>
      </w:r>
      <w:proofErr w:type="gramEnd"/>
      <w:r w:rsidRPr="00B36343">
        <w:t xml:space="preserve"> хозяйств всех категорий)</w:t>
      </w:r>
    </w:p>
    <w:p w:rsidR="00B36343" w:rsidRPr="00B36343" w:rsidRDefault="00B36343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B6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3562350"/>
            <wp:effectExtent l="0" t="0" r="0" b="0"/>
            <wp:docPr id="7" name="Рисунок 7" descr="D:\Мои документы\svodka\2024\04\19\canvas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Мои документы\svodka\2024\04\19\canvas-0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2023 году в хозяйствах всех категорий валовой сбор зерна (в  первоначально-оприходованном весе) составил 2320,6 тыс. тонн или 112,9% к уровню 2022 года, картофеля — 1833,0 тыс. тонн (145,8%), овощей — 117,9 тыс. тонн (104,3%).</w:t>
      </w:r>
    </w:p>
    <w:p w:rsidR="00B36343" w:rsidRPr="00B36343" w:rsidRDefault="00B36343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инвестиций в основной капитал за счет всех источников финансирования в 2023 году составил 94,1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руб. или 93,4% к уровню 2022 года в сопоставимых ценах.</w:t>
      </w:r>
    </w:p>
    <w:p w:rsidR="00B36343" w:rsidRPr="00B36343" w:rsidRDefault="00B36343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структуре инвестиций в основной капитал по источникам финансирования 59,4% занимали собственные средства. В видовой структуре инвестиций основной объем занимали инвестиции в машины и оборудование, включая хозяйственный инвентарь и другие объекты — 43,1%.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lastRenderedPageBreak/>
        <w:t>Объем инвестиций в основной капитал</w:t>
      </w:r>
    </w:p>
    <w:p w:rsidR="00B36343" w:rsidRPr="007B624D" w:rsidRDefault="007B624D" w:rsidP="007B624D">
      <w:pPr>
        <w:pStyle w:val="1"/>
        <w:spacing w:line="360" w:lineRule="auto"/>
      </w:pPr>
      <w:r>
        <w:rPr>
          <w:noProof/>
        </w:rPr>
        <w:drawing>
          <wp:inline distT="0" distB="0" distL="0" distR="0">
            <wp:extent cx="5934075" cy="3562350"/>
            <wp:effectExtent l="0" t="0" r="0" b="0"/>
            <wp:docPr id="8" name="Рисунок 8" descr="D:\Мои документы\svodka\2024\04\19\canvas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Мои документы\svodka\2024\04\19\canvas-0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343" w:rsidRPr="00B36343">
        <w:t>Динамика индексов физического объема инвестиций в основной капитал</w:t>
      </w:r>
    </w:p>
    <w:p w:rsidR="007B624D" w:rsidRPr="007B624D" w:rsidRDefault="007B624D" w:rsidP="007B624D">
      <w:pPr>
        <w:pStyle w:val="1"/>
        <w:spacing w:line="360" w:lineRule="auto"/>
      </w:pPr>
      <w:r>
        <w:rPr>
          <w:noProof/>
        </w:rPr>
        <w:drawing>
          <wp:inline distT="0" distB="0" distL="0" distR="0">
            <wp:extent cx="5934075" cy="3562350"/>
            <wp:effectExtent l="0" t="0" r="0" b="0"/>
            <wp:docPr id="9" name="Рисунок 9" descr="D:\Мои документы\svodka\2024\04\19\canvas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Мои документы\svodka\2024\04\19\canvas-0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работ, выполненных по виду деятельности «строительство», в 2023 году составил 46,3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руб. или 95,0% к уровню 2022 года (в сопоставимых ценах).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lastRenderedPageBreak/>
        <w:t>Объем работ, выполненных по виду экономической деятельности «строительство»</w:t>
      </w:r>
    </w:p>
    <w:p w:rsidR="007B624D" w:rsidRPr="007B624D" w:rsidRDefault="007B624D" w:rsidP="00B36343">
      <w:pPr>
        <w:pStyle w:val="1"/>
        <w:keepNext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34075" cy="3562350"/>
            <wp:effectExtent l="0" t="0" r="0" b="0"/>
            <wp:docPr id="10" name="Рисунок 10" descr="D:\Мои документы\svodka\2024\04\19\canvas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Мои документы\svodka\2024\04\19\canvas-1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t>Ввод в действие жилых домов</w:t>
      </w:r>
    </w:p>
    <w:p w:rsidR="007B624D" w:rsidRDefault="007B624D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3562350"/>
            <wp:effectExtent l="0" t="0" r="0" b="0"/>
            <wp:docPr id="11" name="Рисунок 11" descr="D:\Мои документы\svodka\2024\04\19\canvas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Мои документы\svodka\2024\04\19\canvas-1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Введено в эксплуатацию 568,6 тыс. кв. метров общей площади жилых домов или 117,0% к уровню 2022 года.</w:t>
      </w:r>
    </w:p>
    <w:p w:rsidR="00B36343" w:rsidRPr="00B36343" w:rsidRDefault="00B36343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 розничной торговли за 2023 год составил 341,6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руб., что на 2,4% меньше, чем за 2022 год (в сопоставимых ценах). В структуре оборота розничной торговли доля продовольственных товаров составила 48,0%, непродовольственных — 52,0%.</w:t>
      </w:r>
    </w:p>
    <w:p w:rsidR="00B36343" w:rsidRPr="00B36343" w:rsidRDefault="00B36343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2023 году населению оказано платных услуг на 73,8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руб., что на 0,3% больше, чем за 2022 год (в сопоставимых ценах). В структуре объема платных услуг населению 64,98% приходилось на услуги жилищно-коммунальные, бытовые и телекоммуникационные.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t>Динамика темпов роста оборота розничной торговли</w:t>
      </w:r>
    </w:p>
    <w:p w:rsidR="007B624D" w:rsidRPr="007B624D" w:rsidRDefault="007B624D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34075" cy="3562350"/>
            <wp:effectExtent l="0" t="0" r="0" b="0"/>
            <wp:docPr id="12" name="Рисунок 12" descr="D:\Мои документы\svodka\2024\04\19\canva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Мои документы\svodka\2024\04\19\canvas-1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lastRenderedPageBreak/>
        <w:t>Динамика темпов роста объема платных услуг населению</w:t>
      </w:r>
    </w:p>
    <w:p w:rsidR="007B624D" w:rsidRDefault="007B624D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3562350"/>
            <wp:effectExtent l="0" t="0" r="0" b="0"/>
            <wp:docPr id="13" name="Рисунок 13" descr="D:\Мои документы\svodka\2024\04\19\canvas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Мои документы\svodka\2024\04\19\canvas-1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потребительских цен в среднегодовом исчислении за 2023 год составил 107,0% к 2022 году, за декабрь 2023 года к декабрю 2022 года — 107,3%.</w:t>
      </w:r>
    </w:p>
    <w:p w:rsidR="00B36343" w:rsidRDefault="00B36343" w:rsidP="00B36343">
      <w:pPr>
        <w:pStyle w:val="1"/>
        <w:keepNext/>
        <w:spacing w:line="360" w:lineRule="auto"/>
        <w:rPr>
          <w:lang w:val="en-US"/>
        </w:rPr>
      </w:pPr>
      <w:r w:rsidRPr="00B36343">
        <w:t>Индекс потребительских цен</w:t>
      </w:r>
    </w:p>
    <w:p w:rsidR="007B624D" w:rsidRPr="007B624D" w:rsidRDefault="007B624D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34075" cy="3562350"/>
            <wp:effectExtent l="0" t="0" r="0" b="0"/>
            <wp:docPr id="14" name="Рисунок 14" descr="D:\Мои документы\svodka\2024\04\19\canvas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Мои документы\svodka\2024\04\19\canvas-14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 2023 год крупными и средними предприятиями и организациями области по всем видам экономической деятельности получен положительный сальдированный финансовый результат в сумме 64,3 </w:t>
      </w:r>
      <w:proofErr w:type="gramStart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руб. Удельный вес убыточных предприятий в целом по области составил 26,0%.</w:t>
      </w:r>
    </w:p>
    <w:p w:rsidR="00B36343" w:rsidRPr="007B624D" w:rsidRDefault="00B36343" w:rsidP="007B624D">
      <w:pPr>
        <w:pStyle w:val="1"/>
        <w:keepNext/>
        <w:spacing w:before="0" w:beforeAutospacing="0" w:after="0" w:afterAutospacing="0" w:line="360" w:lineRule="auto"/>
      </w:pPr>
      <w:r w:rsidRPr="00B36343">
        <w:t>Финансовые результаты деятельности организаций Брянской области (без субъектов малого предпринимательства)</w:t>
      </w:r>
    </w:p>
    <w:p w:rsidR="007B624D" w:rsidRDefault="007B624D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 wp14:anchorId="362BEFCC" wp14:editId="4E9B33B5">
            <wp:extent cx="5934075" cy="3562350"/>
            <wp:effectExtent l="0" t="0" r="0" b="0"/>
            <wp:docPr id="15" name="Рисунок 15" descr="D:\Мои документы\svodka\2024\04\19\canvas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Мои документы\svodka\2024\04\19\canvas-15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E6C" w:rsidRDefault="000D7E6C" w:rsidP="003C7FF4">
      <w:pPr>
        <w:pStyle w:val="a3"/>
        <w:spacing w:before="0" w:beforeAutospacing="0" w:after="0" w:afterAutospacing="0" w:line="360" w:lineRule="auto"/>
        <w:jc w:val="both"/>
      </w:pPr>
      <w:r>
        <w:t>Кредиторская задолженность в</w:t>
      </w:r>
      <w:r>
        <w:rPr>
          <w:rStyle w:val="symbols"/>
        </w:rPr>
        <w:t> </w:t>
      </w:r>
      <w:r>
        <w:t>целом по</w:t>
      </w:r>
      <w:r>
        <w:rPr>
          <w:rStyle w:val="symbols"/>
        </w:rPr>
        <w:t> </w:t>
      </w:r>
      <w:r>
        <w:t>области по</w:t>
      </w:r>
      <w:r>
        <w:rPr>
          <w:rStyle w:val="symbols"/>
        </w:rPr>
        <w:t> </w:t>
      </w:r>
      <w:r>
        <w:t>состоянию на</w:t>
      </w:r>
      <w:r>
        <w:rPr>
          <w:rStyle w:val="symbols"/>
        </w:rPr>
        <w:t> </w:t>
      </w:r>
      <w:r>
        <w:t>1 января 2024 года составила 258,9</w:t>
      </w:r>
      <w:r>
        <w:rPr>
          <w:rStyle w:val="symbols"/>
        </w:rPr>
        <w:t> </w:t>
      </w:r>
      <w:r>
        <w:t>млрд.</w:t>
      </w:r>
      <w:r>
        <w:rPr>
          <w:rStyle w:val="symbols"/>
        </w:rPr>
        <w:t> </w:t>
      </w:r>
      <w:r>
        <w:t>рублей, из</w:t>
      </w:r>
      <w:r>
        <w:rPr>
          <w:rStyle w:val="symbols"/>
        </w:rPr>
        <w:t> </w:t>
      </w:r>
      <w:r>
        <w:t>нее просроченная</w:t>
      </w:r>
      <w:r>
        <w:rPr>
          <w:rStyle w:val="symbols"/>
        </w:rPr>
        <w:t> —</w:t>
      </w:r>
      <w:r>
        <w:t xml:space="preserve"> 8.6</w:t>
      </w:r>
      <w:r>
        <w:rPr>
          <w:rStyle w:val="symbols"/>
        </w:rPr>
        <w:t> </w:t>
      </w:r>
      <w:r>
        <w:t>млрд.</w:t>
      </w:r>
      <w:r>
        <w:rPr>
          <w:rStyle w:val="symbols"/>
        </w:rPr>
        <w:t> </w:t>
      </w:r>
      <w:r>
        <w:t>рублей (3,3 процента в</w:t>
      </w:r>
      <w:r>
        <w:rPr>
          <w:rStyle w:val="symbols"/>
        </w:rPr>
        <w:t> </w:t>
      </w:r>
      <w:r>
        <w:t>общей сумме задолженности).</w:t>
      </w:r>
    </w:p>
    <w:p w:rsidR="000D7E6C" w:rsidRDefault="000D7E6C" w:rsidP="003C7FF4">
      <w:pPr>
        <w:pStyle w:val="a3"/>
        <w:spacing w:before="0" w:beforeAutospacing="0" w:after="0" w:afterAutospacing="0" w:line="360" w:lineRule="auto"/>
        <w:jc w:val="both"/>
      </w:pPr>
      <w:r>
        <w:t>Дебиторская задолженность на</w:t>
      </w:r>
      <w:r>
        <w:rPr>
          <w:rStyle w:val="symbols"/>
        </w:rPr>
        <w:t> </w:t>
      </w:r>
      <w:r>
        <w:t>1 января 2024 года составила 212,9</w:t>
      </w:r>
      <w:r>
        <w:rPr>
          <w:rStyle w:val="symbols"/>
        </w:rPr>
        <w:t> </w:t>
      </w:r>
      <w:r>
        <w:t>млрд.</w:t>
      </w:r>
      <w:r>
        <w:rPr>
          <w:rStyle w:val="symbols"/>
        </w:rPr>
        <w:t> </w:t>
      </w:r>
      <w:r>
        <w:t>рублей, из</w:t>
      </w:r>
      <w:r>
        <w:rPr>
          <w:rStyle w:val="symbols"/>
        </w:rPr>
        <w:t> </w:t>
      </w:r>
      <w:r>
        <w:t>нее просроченная</w:t>
      </w:r>
      <w:r>
        <w:rPr>
          <w:rStyle w:val="symbols"/>
        </w:rPr>
        <w:t> —</w:t>
      </w:r>
      <w:r>
        <w:t xml:space="preserve"> 6,2</w:t>
      </w:r>
      <w:r>
        <w:rPr>
          <w:rStyle w:val="symbols"/>
        </w:rPr>
        <w:t> </w:t>
      </w:r>
      <w:r>
        <w:t>млрд.</w:t>
      </w:r>
      <w:r>
        <w:rPr>
          <w:rStyle w:val="symbols"/>
        </w:rPr>
        <w:t> </w:t>
      </w:r>
      <w:r>
        <w:t>рублей (2,9 процента в</w:t>
      </w:r>
      <w:r>
        <w:rPr>
          <w:rStyle w:val="symbols"/>
        </w:rPr>
        <w:t> </w:t>
      </w:r>
      <w:r>
        <w:t>общей сумме задолженности).</w:t>
      </w:r>
    </w:p>
    <w:p w:rsidR="000D7E6C" w:rsidRDefault="000D7E6C" w:rsidP="003C7FF4">
      <w:pPr>
        <w:pStyle w:val="a3"/>
        <w:spacing w:before="0" w:beforeAutospacing="0" w:after="0" w:afterAutospacing="0" w:line="360" w:lineRule="auto"/>
        <w:jc w:val="both"/>
      </w:pPr>
      <w:r>
        <w:t>Номинальная начисленная среднемесячная заработная плата за</w:t>
      </w:r>
      <w:r>
        <w:rPr>
          <w:rStyle w:val="symbols"/>
        </w:rPr>
        <w:t> </w:t>
      </w:r>
      <w:r>
        <w:t>2023 год составила 47828,3</w:t>
      </w:r>
      <w:r>
        <w:rPr>
          <w:rStyle w:val="symbols"/>
        </w:rPr>
        <w:t> </w:t>
      </w:r>
      <w:r>
        <w:t>рубля, что на</w:t>
      </w:r>
      <w:r>
        <w:rPr>
          <w:rStyle w:val="symbols"/>
        </w:rPr>
        <w:t> </w:t>
      </w:r>
      <w:r>
        <w:t>17,5 процента больше уровня 2022 года (по</w:t>
      </w:r>
      <w:r>
        <w:rPr>
          <w:rStyle w:val="symbols"/>
        </w:rPr>
        <w:t> </w:t>
      </w:r>
      <w:r>
        <w:t>сопоставимому кругу организаций). Реальная заработная плата составила 109,8 процента к</w:t>
      </w:r>
      <w:r>
        <w:rPr>
          <w:rStyle w:val="symbols"/>
        </w:rPr>
        <w:t> </w:t>
      </w:r>
      <w:r>
        <w:t>уровню 2022 года.</w:t>
      </w:r>
    </w:p>
    <w:p w:rsidR="000D7E6C" w:rsidRDefault="000D7E6C" w:rsidP="003C7FF4">
      <w:pPr>
        <w:pStyle w:val="a3"/>
        <w:spacing w:before="0" w:beforeAutospacing="0" w:after="0" w:afterAutospacing="0" w:line="360" w:lineRule="auto"/>
        <w:jc w:val="both"/>
      </w:pPr>
      <w:r>
        <w:t>Денежные доходы в</w:t>
      </w:r>
      <w:r>
        <w:rPr>
          <w:rStyle w:val="symbols"/>
        </w:rPr>
        <w:t> </w:t>
      </w:r>
      <w:r>
        <w:t>расчете на</w:t>
      </w:r>
      <w:r>
        <w:rPr>
          <w:rStyle w:val="symbols"/>
        </w:rPr>
        <w:t> </w:t>
      </w:r>
      <w:r>
        <w:t>душу населения сложились в</w:t>
      </w:r>
      <w:r>
        <w:rPr>
          <w:rStyle w:val="symbols"/>
        </w:rPr>
        <w:t> </w:t>
      </w:r>
      <w:r>
        <w:t>сумме 39911,9</w:t>
      </w:r>
      <w:r>
        <w:rPr>
          <w:rStyle w:val="symbols"/>
        </w:rPr>
        <w:t> </w:t>
      </w:r>
      <w:r>
        <w:t>рубля в</w:t>
      </w:r>
      <w:r>
        <w:rPr>
          <w:rStyle w:val="symbols"/>
        </w:rPr>
        <w:t> </w:t>
      </w:r>
      <w:r>
        <w:t>месяц, что на</w:t>
      </w:r>
      <w:r>
        <w:rPr>
          <w:rStyle w:val="symbols"/>
        </w:rPr>
        <w:t> </w:t>
      </w:r>
      <w:r>
        <w:t>11,7 процента больше, чем в</w:t>
      </w:r>
      <w:r>
        <w:rPr>
          <w:rStyle w:val="symbols"/>
        </w:rPr>
        <w:t> </w:t>
      </w:r>
      <w:r>
        <w:t>2022 году, при этом реальные среднедушевые денежные доходы населения составили 104,4 процента к</w:t>
      </w:r>
      <w:r>
        <w:rPr>
          <w:rStyle w:val="symbols"/>
        </w:rPr>
        <w:t> </w:t>
      </w:r>
      <w:r>
        <w:t>уровню 2022 года.</w:t>
      </w:r>
    </w:p>
    <w:p w:rsidR="00B36343" w:rsidRPr="007B624D" w:rsidRDefault="00B36343" w:rsidP="007B624D">
      <w:pPr>
        <w:pStyle w:val="1"/>
        <w:keepNext/>
        <w:spacing w:line="360" w:lineRule="auto"/>
      </w:pPr>
      <w:r w:rsidRPr="00B36343">
        <w:lastRenderedPageBreak/>
        <w:t>Удельный вес убыточных предприятий</w:t>
      </w:r>
    </w:p>
    <w:p w:rsidR="000D7E6C" w:rsidRDefault="007B624D" w:rsidP="000D7E6C">
      <w:pPr>
        <w:pStyle w:val="a3"/>
        <w:spacing w:before="0" w:beforeAutospacing="0" w:after="0" w:afterAutospacing="0" w:line="360" w:lineRule="auto"/>
      </w:pPr>
      <w:r>
        <w:rPr>
          <w:noProof/>
        </w:rPr>
        <w:drawing>
          <wp:inline distT="0" distB="0" distL="0" distR="0" wp14:anchorId="6EAD8A0E" wp14:editId="12961FB8">
            <wp:extent cx="5934075" cy="3562350"/>
            <wp:effectExtent l="0" t="0" r="0" b="0"/>
            <wp:docPr id="16" name="Рисунок 16" descr="D:\Мои документы\svodka\2024\04\19\canvas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Мои документы\svodka\2024\04\19\canvas-16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7E6C" w:rsidRPr="000D7E6C">
        <w:t xml:space="preserve"> </w:t>
      </w:r>
    </w:p>
    <w:p w:rsidR="00B36343" w:rsidRPr="000D7E6C" w:rsidRDefault="00B36343" w:rsidP="007B624D">
      <w:pPr>
        <w:pStyle w:val="1"/>
        <w:spacing w:line="360" w:lineRule="auto"/>
      </w:pPr>
      <w:r w:rsidRPr="00B36343">
        <w:t>Номинальная начисленная среднемесячная заработная плата, денежные доходы на душу населения</w:t>
      </w:r>
    </w:p>
    <w:p w:rsidR="007B624D" w:rsidRPr="007B624D" w:rsidRDefault="007B624D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34075" cy="3562350"/>
            <wp:effectExtent l="0" t="0" r="0" b="0"/>
            <wp:docPr id="17" name="Рисунок 17" descr="D:\Мои документы\svodka\2024\04\19\canvas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Мои документы\svodka\2024\04\19\canvas-17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lastRenderedPageBreak/>
        <w:t>Реальная начисленная заработная плата одного работника, реальные среднедушевые денежные доходы населения</w:t>
      </w:r>
      <w:r w:rsidR="007B624D">
        <w:rPr>
          <w:noProof/>
        </w:rPr>
        <w:drawing>
          <wp:inline distT="0" distB="0" distL="0" distR="0" wp14:anchorId="3EEEB30E" wp14:editId="6658010B">
            <wp:extent cx="5934075" cy="3562350"/>
            <wp:effectExtent l="0" t="0" r="0" b="0"/>
            <wp:docPr id="18" name="Рисунок 18" descr="D:\Мои документы\svodka\2024\04\19\canvas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Мои документы\svodka\2024\04\19\canvas-18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t>Уровень регистрируемой безработицы (на конец года)</w:t>
      </w:r>
    </w:p>
    <w:p w:rsidR="007A09BE" w:rsidRDefault="004F2B9B" w:rsidP="00B36343">
      <w:pPr>
        <w:spacing w:before="100" w:beforeAutospacing="1" w:after="100" w:afterAutospacing="1" w:line="360" w:lineRule="auto"/>
      </w:pPr>
      <w:r>
        <w:rPr>
          <w:noProof/>
          <w:lang w:eastAsia="ru-RU"/>
        </w:rPr>
        <w:drawing>
          <wp:inline distT="0" distB="0" distL="0" distR="0">
            <wp:extent cx="5934075" cy="3562350"/>
            <wp:effectExtent l="0" t="0" r="0" b="0"/>
            <wp:docPr id="19" name="Рисунок 19" descr="D:\Мои документы\svodka\2024\04\19\canvas-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Мои документы\svodka\2024\04\19\canvas-19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FF4" w:rsidRPr="00B36343" w:rsidRDefault="003C7FF4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Численность официально зарегистрированных безработных на 1 января 2024 года составила 2334 человека (на 1 января 2023 года — 3339 человек). Уровень официально регистрируемой безработицы составил 0,4% к численности рабочей силы (на 1 января 2023 года — 0,6%).</w:t>
      </w:r>
    </w:p>
    <w:p w:rsidR="003C7FF4" w:rsidRPr="003C7FF4" w:rsidRDefault="003C7FF4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рождаемости по итогам 2023 года составил 6,9 человека на 1000 населения (в 2022 году — 7,1 человека на 1000 населения), коэффициент смертности составил 14,3 человека на 1000 населения (в 2022 году — 15,6 человека на 1000 населения).</w:t>
      </w:r>
    </w:p>
    <w:p w:rsidR="003C7FF4" w:rsidRPr="003C7FF4" w:rsidRDefault="003C7FF4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естественной убыли населения составил 7,4 человека на 1000 населения (в 2022 году — 8,5 человека на 1000 населения).</w:t>
      </w:r>
    </w:p>
    <w:p w:rsidR="003C7FF4" w:rsidRPr="003C7FF4" w:rsidRDefault="003C7FF4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предварительной оценке численность постоянного населения Брянской области (с учетом итогов Всероссийской переписи населения 2020 года) на 1 января 2024 года составила 1142,9 тыс. человек.</w:t>
      </w:r>
    </w:p>
    <w:p w:rsidR="003C7FF4" w:rsidRDefault="003C7FF4" w:rsidP="00B36343">
      <w:pPr>
        <w:spacing w:before="100" w:beforeAutospacing="1" w:after="100" w:afterAutospacing="1" w:line="360" w:lineRule="auto"/>
      </w:pPr>
    </w:p>
    <w:sectPr w:rsidR="003C7FF4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633" w:rsidRDefault="00110633" w:rsidP="001A5832">
      <w:pPr>
        <w:spacing w:after="0" w:line="240" w:lineRule="auto"/>
      </w:pPr>
      <w:r>
        <w:separator/>
      </w:r>
    </w:p>
  </w:endnote>
  <w:endnote w:type="continuationSeparator" w:id="0">
    <w:p w:rsidR="00110633" w:rsidRDefault="00110633" w:rsidP="001A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2103952"/>
      <w:docPartObj>
        <w:docPartGallery w:val="Page Numbers (Bottom of Page)"/>
        <w:docPartUnique/>
      </w:docPartObj>
    </w:sdtPr>
    <w:sdtContent>
      <w:p w:rsidR="001A5832" w:rsidRDefault="001A583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A5832" w:rsidRDefault="001A58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633" w:rsidRDefault="00110633" w:rsidP="001A5832">
      <w:pPr>
        <w:spacing w:after="0" w:line="240" w:lineRule="auto"/>
      </w:pPr>
      <w:r>
        <w:separator/>
      </w:r>
    </w:p>
  </w:footnote>
  <w:footnote w:type="continuationSeparator" w:id="0">
    <w:p w:rsidR="00110633" w:rsidRDefault="00110633" w:rsidP="001A5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43"/>
    <w:rsid w:val="000D7E6C"/>
    <w:rsid w:val="00110633"/>
    <w:rsid w:val="001A1A5A"/>
    <w:rsid w:val="001A5832"/>
    <w:rsid w:val="0024221C"/>
    <w:rsid w:val="003C7FF4"/>
    <w:rsid w:val="004F2B9B"/>
    <w:rsid w:val="004F5733"/>
    <w:rsid w:val="00504B03"/>
    <w:rsid w:val="007B624D"/>
    <w:rsid w:val="00A5296F"/>
    <w:rsid w:val="00B36343"/>
    <w:rsid w:val="00B70063"/>
    <w:rsid w:val="00C34C70"/>
    <w:rsid w:val="00C9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6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34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styleId="a3">
    <w:name w:val="Normal (Web)"/>
    <w:basedOn w:val="a"/>
    <w:uiPriority w:val="99"/>
    <w:unhideWhenUsed/>
    <w:rsid w:val="00B3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B36343"/>
  </w:style>
  <w:style w:type="paragraph" w:styleId="a4">
    <w:name w:val="Balloon Text"/>
    <w:basedOn w:val="a"/>
    <w:link w:val="a5"/>
    <w:uiPriority w:val="99"/>
    <w:semiHidden/>
    <w:unhideWhenUsed/>
    <w:rsid w:val="00B3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43"/>
    <w:rPr>
      <w:rFonts w:ascii="Tahoma" w:hAnsi="Tahoma" w:cs="Tahoma"/>
      <w:sz w:val="16"/>
      <w:szCs w:val="16"/>
    </w:rPr>
  </w:style>
  <w:style w:type="character" w:customStyle="1" w:styleId="symbols">
    <w:name w:val="symbols"/>
    <w:basedOn w:val="a0"/>
    <w:rsid w:val="000D7E6C"/>
  </w:style>
  <w:style w:type="paragraph" w:styleId="a6">
    <w:name w:val="header"/>
    <w:basedOn w:val="a"/>
    <w:link w:val="a7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5832"/>
  </w:style>
  <w:style w:type="paragraph" w:styleId="a8">
    <w:name w:val="footer"/>
    <w:basedOn w:val="a"/>
    <w:link w:val="a9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6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34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styleId="a3">
    <w:name w:val="Normal (Web)"/>
    <w:basedOn w:val="a"/>
    <w:uiPriority w:val="99"/>
    <w:unhideWhenUsed/>
    <w:rsid w:val="00B3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B36343"/>
  </w:style>
  <w:style w:type="paragraph" w:styleId="a4">
    <w:name w:val="Balloon Text"/>
    <w:basedOn w:val="a"/>
    <w:link w:val="a5"/>
    <w:uiPriority w:val="99"/>
    <w:semiHidden/>
    <w:unhideWhenUsed/>
    <w:rsid w:val="00B3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43"/>
    <w:rPr>
      <w:rFonts w:ascii="Tahoma" w:hAnsi="Tahoma" w:cs="Tahoma"/>
      <w:sz w:val="16"/>
      <w:szCs w:val="16"/>
    </w:rPr>
  </w:style>
  <w:style w:type="character" w:customStyle="1" w:styleId="symbols">
    <w:name w:val="symbols"/>
    <w:basedOn w:val="a0"/>
    <w:rsid w:val="000D7E6C"/>
  </w:style>
  <w:style w:type="paragraph" w:styleId="a6">
    <w:name w:val="header"/>
    <w:basedOn w:val="a"/>
    <w:link w:val="a7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5832"/>
  </w:style>
  <w:style w:type="paragraph" w:styleId="a8">
    <w:name w:val="footer"/>
    <w:basedOn w:val="a"/>
    <w:link w:val="a9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1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2024-04-19T13:01:00Z</cp:lastPrinted>
  <dcterms:created xsi:type="dcterms:W3CDTF">2024-04-19T08:51:00Z</dcterms:created>
  <dcterms:modified xsi:type="dcterms:W3CDTF">2024-04-19T13:06:00Z</dcterms:modified>
</cp:coreProperties>
</file>